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44" w:rsidRPr="00655D44" w:rsidRDefault="00655D44" w:rsidP="00655D44">
      <w:pPr>
        <w:jc w:val="right"/>
        <w:outlineLvl w:val="0"/>
        <w:rPr>
          <w:rFonts w:eastAsia="Times New Roman" w:cs="Times New Roman"/>
          <w:bCs/>
          <w:kern w:val="36"/>
          <w:szCs w:val="24"/>
        </w:rPr>
      </w:pPr>
      <w:bookmarkStart w:id="0" w:name="JD_JLCD"/>
      <w:bookmarkStart w:id="1" w:name="_GoBack"/>
      <w:bookmarkEnd w:id="1"/>
      <w:r w:rsidRPr="00655D44">
        <w:rPr>
          <w:rFonts w:eastAsia="Times New Roman" w:cs="Times New Roman"/>
          <w:bCs/>
          <w:kern w:val="36"/>
          <w:szCs w:val="24"/>
          <w:u w:val="single"/>
        </w:rPr>
        <w:t>File</w:t>
      </w:r>
      <w:r w:rsidRPr="00655D44">
        <w:rPr>
          <w:rFonts w:eastAsia="Times New Roman" w:cs="Times New Roman"/>
          <w:bCs/>
          <w:kern w:val="36"/>
          <w:szCs w:val="24"/>
        </w:rPr>
        <w:t>:  JLCD</w:t>
      </w:r>
    </w:p>
    <w:p w:rsidR="00655D44" w:rsidRPr="00655D44" w:rsidRDefault="00655D44" w:rsidP="00655D44">
      <w:pPr>
        <w:jc w:val="right"/>
        <w:outlineLvl w:val="0"/>
        <w:rPr>
          <w:rFonts w:eastAsia="Times New Roman" w:cs="Times New Roman"/>
          <w:bCs/>
          <w:kern w:val="36"/>
          <w:szCs w:val="24"/>
        </w:rPr>
      </w:pPr>
    </w:p>
    <w:bookmarkEnd w:id="0"/>
    <w:p w:rsidR="00655D44" w:rsidRPr="00655D44" w:rsidRDefault="00655D44" w:rsidP="00655D44">
      <w:pPr>
        <w:jc w:val="center"/>
        <w:outlineLvl w:val="1"/>
        <w:rPr>
          <w:rFonts w:eastAsia="Times New Roman" w:cs="Times New Roman"/>
          <w:b/>
          <w:bCs/>
          <w:szCs w:val="24"/>
        </w:rPr>
      </w:pPr>
      <w:r w:rsidRPr="00655D44">
        <w:rPr>
          <w:rFonts w:eastAsia="Times New Roman" w:cs="Times New Roman"/>
          <w:b/>
          <w:bCs/>
          <w:szCs w:val="24"/>
        </w:rPr>
        <w:t>ADMINISTERING MEDICINES TO STUDENTS</w:t>
      </w:r>
    </w:p>
    <w:p w:rsidR="00655D44" w:rsidRPr="00655D44" w:rsidRDefault="00655D44" w:rsidP="00655D44">
      <w:pPr>
        <w:jc w:val="center"/>
        <w:outlineLvl w:val="1"/>
        <w:rPr>
          <w:rFonts w:eastAsia="Times New Roman" w:cs="Times New Roman"/>
          <w:b/>
          <w:bCs/>
          <w:szCs w:val="24"/>
        </w:rPr>
      </w:pPr>
    </w:p>
    <w:p w:rsidR="00655D44" w:rsidRPr="00655D44" w:rsidRDefault="00655D44" w:rsidP="00655D44">
      <w:pPr>
        <w:jc w:val="center"/>
        <w:outlineLvl w:val="1"/>
        <w:rPr>
          <w:rFonts w:eastAsia="Times New Roman" w:cs="Times New Roman"/>
          <w:b/>
          <w:bCs/>
          <w:szCs w:val="24"/>
        </w:rPr>
      </w:pPr>
    </w:p>
    <w:p w:rsidR="00655D44" w:rsidRPr="00655D44" w:rsidRDefault="00655D44" w:rsidP="00655D44">
      <w:pPr>
        <w:jc w:val="both"/>
        <w:rPr>
          <w:rFonts w:eastAsia="Times New Roman" w:cs="Times New Roman"/>
          <w:szCs w:val="24"/>
        </w:rPr>
      </w:pPr>
      <w:r w:rsidRPr="00655D44">
        <w:rPr>
          <w:rFonts w:eastAsia="Times New Roman" w:cs="Times New Roman"/>
          <w:szCs w:val="24"/>
        </w:rPr>
        <w:t xml:space="preserve">Medication may not be administered to students while at school unless such medicine is given to them by the school nurse acting under specific written request of the parent or guardian and under the written directive of the student's personal physician (see below for exceptions). When the school nurse is not present, a student who needs medication during the school day may be called to the office at the scheduled hour and </w:t>
      </w:r>
      <w:r w:rsidRPr="00655D44">
        <w:rPr>
          <w:rFonts w:eastAsia="Times New Roman" w:cs="Times New Roman"/>
          <w:szCs w:val="24"/>
          <w:u w:val="single"/>
        </w:rPr>
        <w:t>reminded</w:t>
      </w:r>
      <w:r w:rsidRPr="00655D44">
        <w:rPr>
          <w:rFonts w:eastAsia="Times New Roman" w:cs="Times New Roman"/>
          <w:szCs w:val="24"/>
        </w:rPr>
        <w:t xml:space="preserve"> by the secretary to take the medicine.  This provision only applies when the correct dosage of the medication has been placed in an individual container clearly marked with the student's name, the dosage to be administered, and the time and/or conditions under which the medicine is to be taken. In addition, the student must be able to recognize the medicine that he/she or she is taking. </w:t>
      </w:r>
      <w:r w:rsidRPr="00655D44">
        <w:rPr>
          <w:rFonts w:eastAsia="Times New Roman" w:cs="Times New Roman"/>
          <w:szCs w:val="24"/>
          <w:u w:val="single"/>
        </w:rPr>
        <w:t>No one</w:t>
      </w:r>
      <w:r w:rsidRPr="00655D44">
        <w:rPr>
          <w:rFonts w:eastAsia="Times New Roman" w:cs="Times New Roman"/>
          <w:szCs w:val="24"/>
        </w:rPr>
        <w:t xml:space="preserve"> but the school nurse, and those others listed in the medical administration plan acting within the above restriction, may give any medication to any student.</w:t>
      </w:r>
    </w:p>
    <w:p w:rsidR="00655D44" w:rsidRPr="00655D44" w:rsidRDefault="00655D44" w:rsidP="00655D44">
      <w:pPr>
        <w:jc w:val="both"/>
        <w:rPr>
          <w:rFonts w:eastAsia="Times New Roman" w:cs="Times New Roman"/>
          <w:szCs w:val="24"/>
        </w:rPr>
      </w:pPr>
    </w:p>
    <w:p w:rsidR="00655D44" w:rsidRPr="00655D44" w:rsidRDefault="00655D44" w:rsidP="00655D44">
      <w:pPr>
        <w:jc w:val="both"/>
        <w:rPr>
          <w:rFonts w:eastAsia="Times New Roman" w:cs="Times New Roman"/>
          <w:b/>
          <w:szCs w:val="24"/>
        </w:rPr>
      </w:pPr>
      <w:r w:rsidRPr="00655D44">
        <w:rPr>
          <w:rFonts w:eastAsia="Times New Roman" w:cs="Times New Roman"/>
          <w:b/>
          <w:szCs w:val="24"/>
        </w:rPr>
        <w:t>Exceptions:</w:t>
      </w:r>
    </w:p>
    <w:p w:rsidR="00655D44" w:rsidRPr="00655D44" w:rsidRDefault="00655D44" w:rsidP="00655D44">
      <w:pPr>
        <w:jc w:val="both"/>
        <w:rPr>
          <w:rFonts w:eastAsia="Times New Roman" w:cs="Times New Roman"/>
          <w:b/>
          <w:szCs w:val="24"/>
          <w:u w:val="single"/>
        </w:rPr>
      </w:pPr>
    </w:p>
    <w:p w:rsidR="00655D44" w:rsidRPr="00655D44" w:rsidRDefault="00655D44" w:rsidP="00655D44">
      <w:pPr>
        <w:jc w:val="both"/>
        <w:rPr>
          <w:rFonts w:eastAsia="Times New Roman" w:cs="Times New Roman"/>
          <w:szCs w:val="24"/>
        </w:rPr>
      </w:pPr>
      <w:r w:rsidRPr="00655D44">
        <w:rPr>
          <w:rFonts w:eastAsia="Times New Roman" w:cs="Times New Roman"/>
          <w:szCs w:val="24"/>
        </w:rPr>
        <w:t>The school district shall, through the district nurse leader, register with the Dept. of Public Health and train personnel in the use of epinephrine auto-injectors.</w:t>
      </w:r>
    </w:p>
    <w:p w:rsidR="00655D44" w:rsidRPr="00655D44" w:rsidRDefault="00655D44" w:rsidP="00655D44">
      <w:pPr>
        <w:jc w:val="both"/>
        <w:rPr>
          <w:rFonts w:eastAsia="Times New Roman" w:cs="Times New Roman"/>
          <w:szCs w:val="24"/>
        </w:rPr>
      </w:pPr>
    </w:p>
    <w:p w:rsidR="00655D44" w:rsidRPr="00655D44" w:rsidRDefault="00655D44" w:rsidP="00655D44">
      <w:pPr>
        <w:jc w:val="both"/>
        <w:rPr>
          <w:rFonts w:eastAsia="Times New Roman" w:cs="Times New Roman"/>
          <w:szCs w:val="24"/>
        </w:rPr>
      </w:pPr>
      <w:r w:rsidRPr="00655D44">
        <w:rPr>
          <w:rFonts w:eastAsia="Times New Roman" w:cs="Times New Roman"/>
          <w:szCs w:val="24"/>
        </w:rPr>
        <w:t>The school district may, in conjunction with the School Physician and the School Nurse Leader, stock nasal naloxone (</w:t>
      </w:r>
      <w:proofErr w:type="spellStart"/>
      <w:r w:rsidRPr="00655D44">
        <w:rPr>
          <w:rFonts w:eastAsia="Times New Roman" w:cs="Times New Roman"/>
          <w:szCs w:val="24"/>
        </w:rPr>
        <w:t>Narcan</w:t>
      </w:r>
      <w:proofErr w:type="spellEnd"/>
      <w:r w:rsidRPr="00655D44">
        <w:rPr>
          <w:rFonts w:eastAsia="Times New Roman" w:cs="Times New Roman"/>
          <w:szCs w:val="24"/>
        </w:rPr>
        <w:t xml:space="preserve">) and trained medical personnel and first responders may administer nasal naloxone to individuals experiencing a life threatening opiate overdose in a school setting. </w:t>
      </w:r>
    </w:p>
    <w:p w:rsidR="00655D44" w:rsidRPr="00655D44" w:rsidRDefault="00655D44" w:rsidP="00655D44">
      <w:pPr>
        <w:jc w:val="both"/>
        <w:rPr>
          <w:rFonts w:eastAsia="Times New Roman" w:cs="Times New Roman"/>
          <w:szCs w:val="24"/>
        </w:rPr>
      </w:pPr>
    </w:p>
    <w:p w:rsidR="00655D44" w:rsidRPr="00655D44" w:rsidRDefault="00655D44" w:rsidP="00655D44">
      <w:pPr>
        <w:jc w:val="both"/>
        <w:rPr>
          <w:rFonts w:eastAsia="Times New Roman" w:cs="Times New Roman"/>
          <w:szCs w:val="24"/>
        </w:rPr>
      </w:pPr>
      <w:r w:rsidRPr="00655D44">
        <w:rPr>
          <w:rFonts w:eastAsia="Times New Roman" w:cs="Times New Roman"/>
          <w:szCs w:val="24"/>
        </w:rPr>
        <w:t>If the school district wishes medical personnel to train non-medical staff in the administration of nasal naloxone, the School Committee shall vote to approve such training and the Superintendent shall ensure that medical personnel have a written protocol which complies with medical directives and regulations from the Dept. of Public Health.</w:t>
      </w:r>
    </w:p>
    <w:p w:rsidR="00655D44" w:rsidRPr="00655D44" w:rsidRDefault="00655D44" w:rsidP="00655D44">
      <w:pPr>
        <w:jc w:val="both"/>
        <w:rPr>
          <w:rFonts w:eastAsia="Times New Roman" w:cs="Times New Roman"/>
          <w:szCs w:val="24"/>
        </w:rPr>
      </w:pPr>
    </w:p>
    <w:p w:rsidR="00655D44" w:rsidRPr="00655D44" w:rsidRDefault="00655D44" w:rsidP="00655D44">
      <w:pPr>
        <w:jc w:val="both"/>
        <w:rPr>
          <w:rFonts w:eastAsia="Times New Roman" w:cs="Times New Roman"/>
          <w:szCs w:val="24"/>
        </w:rPr>
      </w:pPr>
      <w:r w:rsidRPr="00655D44">
        <w:rPr>
          <w:rFonts w:eastAsia="Times New Roman" w:cs="Times New Roman"/>
          <w:szCs w:val="24"/>
        </w:rPr>
        <w:t>Following consultation with the school nurse, students who fall into the following exceptions may self-administer medications:</w:t>
      </w:r>
    </w:p>
    <w:p w:rsidR="00655D44" w:rsidRPr="00655D44" w:rsidRDefault="00655D44" w:rsidP="00655D44">
      <w:pPr>
        <w:jc w:val="both"/>
        <w:rPr>
          <w:rFonts w:eastAsia="Times New Roman" w:cs="Times New Roman"/>
          <w:szCs w:val="24"/>
        </w:rPr>
      </w:pPr>
    </w:p>
    <w:p w:rsidR="00655D44" w:rsidRPr="00655D44" w:rsidRDefault="00655D44" w:rsidP="00655D44">
      <w:pPr>
        <w:numPr>
          <w:ilvl w:val="0"/>
          <w:numId w:val="1"/>
        </w:numPr>
        <w:spacing w:after="160" w:line="259" w:lineRule="auto"/>
        <w:contextualSpacing/>
        <w:jc w:val="both"/>
        <w:rPr>
          <w:rFonts w:eastAsia="Times New Roman" w:cs="Times New Roman"/>
          <w:szCs w:val="24"/>
        </w:rPr>
      </w:pPr>
      <w:r w:rsidRPr="00655D44">
        <w:rPr>
          <w:rFonts w:eastAsia="Times New Roman" w:cs="Times New Roman"/>
          <w:szCs w:val="24"/>
        </w:rPr>
        <w:t>Students with asthma or other respiratory diseases may possess and administer prescription inhalers.</w:t>
      </w:r>
    </w:p>
    <w:p w:rsidR="00655D44" w:rsidRPr="00655D44" w:rsidRDefault="00655D44" w:rsidP="00655D44">
      <w:pPr>
        <w:numPr>
          <w:ilvl w:val="0"/>
          <w:numId w:val="1"/>
        </w:numPr>
        <w:spacing w:after="160" w:line="259" w:lineRule="auto"/>
        <w:contextualSpacing/>
        <w:jc w:val="both"/>
        <w:rPr>
          <w:rFonts w:eastAsia="Times New Roman" w:cs="Times New Roman"/>
          <w:szCs w:val="24"/>
        </w:rPr>
      </w:pPr>
      <w:r w:rsidRPr="00655D44">
        <w:rPr>
          <w:rFonts w:eastAsia="Times New Roman" w:cs="Times New Roman"/>
          <w:szCs w:val="24"/>
        </w:rPr>
        <w:t>Students with cystic fibrosis may possess and administer prescription enzyme supplements.</w:t>
      </w:r>
    </w:p>
    <w:p w:rsidR="00655D44" w:rsidRPr="00655D44" w:rsidRDefault="00655D44" w:rsidP="00655D44">
      <w:pPr>
        <w:numPr>
          <w:ilvl w:val="0"/>
          <w:numId w:val="1"/>
        </w:numPr>
        <w:spacing w:after="160" w:line="259" w:lineRule="auto"/>
        <w:contextualSpacing/>
        <w:jc w:val="both"/>
        <w:rPr>
          <w:rFonts w:eastAsia="Times New Roman" w:cs="Times New Roman"/>
          <w:szCs w:val="24"/>
        </w:rPr>
      </w:pPr>
      <w:r w:rsidRPr="00655D44">
        <w:rPr>
          <w:rFonts w:eastAsia="Times New Roman" w:cs="Times New Roman"/>
          <w:szCs w:val="24"/>
        </w:rPr>
        <w:t>Students with diabetes may possess and administer glucose monitoring tests and insulin delivery systems.</w:t>
      </w:r>
    </w:p>
    <w:p w:rsidR="00655D44" w:rsidRPr="00655D44" w:rsidRDefault="00655D44" w:rsidP="00655D44">
      <w:pPr>
        <w:ind w:left="720"/>
        <w:contextualSpacing/>
        <w:jc w:val="both"/>
        <w:rPr>
          <w:rFonts w:eastAsia="Times New Roman" w:cs="Times New Roman"/>
          <w:szCs w:val="24"/>
        </w:rPr>
      </w:pPr>
    </w:p>
    <w:p w:rsidR="00655D44" w:rsidRPr="00655D44" w:rsidRDefault="00655D44" w:rsidP="00655D44">
      <w:pPr>
        <w:ind w:left="720"/>
        <w:contextualSpacing/>
        <w:jc w:val="both"/>
        <w:rPr>
          <w:rFonts w:eastAsia="Times New Roman" w:cs="Times New Roman"/>
          <w:szCs w:val="24"/>
        </w:rPr>
      </w:pPr>
    </w:p>
    <w:p w:rsidR="00655D44" w:rsidRPr="00655D44" w:rsidRDefault="00655D44" w:rsidP="00655D44">
      <w:pPr>
        <w:jc w:val="both"/>
        <w:rPr>
          <w:rFonts w:eastAsia="Times New Roman" w:cs="Times New Roman"/>
          <w:szCs w:val="24"/>
        </w:rPr>
      </w:pPr>
      <w:r w:rsidRPr="00655D44">
        <w:rPr>
          <w:rFonts w:eastAsia="Times New Roman" w:cs="Times New Roman"/>
          <w:szCs w:val="24"/>
        </w:rPr>
        <w:t>SOURCE:  MASC March 2016</w:t>
      </w:r>
    </w:p>
    <w:p w:rsidR="00655D44" w:rsidRPr="00655D44" w:rsidRDefault="00655D44" w:rsidP="00655D44">
      <w:pPr>
        <w:jc w:val="both"/>
        <w:rPr>
          <w:rFonts w:eastAsia="Times New Roman" w:cs="Times New Roman"/>
          <w:szCs w:val="24"/>
        </w:rPr>
      </w:pPr>
    </w:p>
    <w:p w:rsidR="00655D44" w:rsidRPr="00655D44" w:rsidRDefault="00655D44" w:rsidP="00655D44">
      <w:pPr>
        <w:jc w:val="both"/>
        <w:rPr>
          <w:rFonts w:eastAsia="Times New Roman" w:cs="Times New Roman"/>
          <w:szCs w:val="24"/>
        </w:rPr>
      </w:pPr>
      <w:bookmarkStart w:id="2" w:name="384"/>
      <w:r w:rsidRPr="00655D44">
        <w:rPr>
          <w:rFonts w:eastAsia="Times New Roman" w:cs="Times New Roman"/>
          <w:szCs w:val="24"/>
        </w:rPr>
        <w:t>LEGAL REF.:</w:t>
      </w:r>
      <w:r w:rsidRPr="00655D44">
        <w:rPr>
          <w:rFonts w:eastAsia="Times New Roman" w:cs="Times New Roman"/>
          <w:szCs w:val="24"/>
        </w:rPr>
        <w:tab/>
        <w:t xml:space="preserve">M.G.L. </w:t>
      </w:r>
      <w:bookmarkEnd w:id="2"/>
      <w:r w:rsidRPr="00655D44">
        <w:rPr>
          <w:rFonts w:eastAsia="Times New Roman" w:cs="Times New Roman"/>
          <w:szCs w:val="24"/>
        </w:rPr>
        <w:fldChar w:fldCharType="begin"/>
      </w:r>
      <w:r w:rsidRPr="00655D44">
        <w:rPr>
          <w:rFonts w:eastAsia="Times New Roman" w:cs="Times New Roman"/>
          <w:szCs w:val="24"/>
        </w:rPr>
        <w:instrText xml:space="preserve"> HYPERLINK "http://www.malegislature.gov/Laws/GeneralLaws/PartI/TitleXII/Chapter71/Section54b" \t "_blank" </w:instrText>
      </w:r>
      <w:r w:rsidRPr="00655D44">
        <w:rPr>
          <w:rFonts w:eastAsia="Times New Roman" w:cs="Times New Roman"/>
          <w:szCs w:val="24"/>
        </w:rPr>
        <w:fldChar w:fldCharType="separate"/>
      </w:r>
      <w:r w:rsidRPr="00655D44">
        <w:rPr>
          <w:rFonts w:eastAsia="Times New Roman" w:cs="Times New Roman"/>
          <w:color w:val="0000FF"/>
          <w:szCs w:val="24"/>
          <w:u w:val="single"/>
        </w:rPr>
        <w:t>71:54B</w:t>
      </w:r>
      <w:r w:rsidRPr="00655D44">
        <w:rPr>
          <w:rFonts w:eastAsia="Times New Roman" w:cs="Times New Roman"/>
          <w:szCs w:val="24"/>
        </w:rPr>
        <w:fldChar w:fldCharType="end"/>
      </w:r>
    </w:p>
    <w:p w:rsidR="00655D44" w:rsidRPr="00655D44" w:rsidRDefault="00655D44" w:rsidP="00655D44">
      <w:pPr>
        <w:jc w:val="both"/>
        <w:rPr>
          <w:rFonts w:eastAsia="Times New Roman" w:cs="Times New Roman"/>
          <w:szCs w:val="24"/>
        </w:rPr>
      </w:pPr>
      <w:r w:rsidRPr="00655D44">
        <w:rPr>
          <w:rFonts w:eastAsia="Times New Roman" w:cs="Times New Roman"/>
          <w:szCs w:val="24"/>
        </w:rPr>
        <w:tab/>
      </w:r>
      <w:r w:rsidRPr="00655D44">
        <w:rPr>
          <w:rFonts w:eastAsia="Times New Roman" w:cs="Times New Roman"/>
          <w:szCs w:val="24"/>
        </w:rPr>
        <w:tab/>
        <w:t>Dept. of Public Health Regulations:  105 CMR 210.00; 244 CMR 3.00</w:t>
      </w:r>
    </w:p>
    <w:p w:rsidR="00655D44" w:rsidRPr="00655D44" w:rsidRDefault="00655D44" w:rsidP="00655D44">
      <w:pPr>
        <w:widowControl w:val="0"/>
        <w:jc w:val="right"/>
        <w:rPr>
          <w:rFonts w:eastAsia="Times New Roman" w:cs="Times New Roman"/>
          <w:szCs w:val="20"/>
        </w:rPr>
      </w:pPr>
    </w:p>
    <w:p w:rsidR="00655D44" w:rsidRPr="00655D44" w:rsidRDefault="00655D44" w:rsidP="00655D44">
      <w:pPr>
        <w:rPr>
          <w:rFonts w:eastAsia="Calibri" w:cs="Times New Roman"/>
          <w:szCs w:val="24"/>
        </w:rPr>
      </w:pPr>
    </w:p>
    <w:p w:rsidR="003331A6" w:rsidRDefault="003331A6"/>
    <w:sectPr w:rsidR="003331A6" w:rsidSect="00655D44">
      <w:footerReference w:type="default" r:id="rId7"/>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2BC" w:rsidRDefault="000552BC" w:rsidP="00655D44">
      <w:pPr>
        <w:spacing w:line="240" w:lineRule="auto"/>
      </w:pPr>
      <w:r>
        <w:separator/>
      </w:r>
    </w:p>
  </w:endnote>
  <w:endnote w:type="continuationSeparator" w:id="0">
    <w:p w:rsidR="000552BC" w:rsidRDefault="000552BC" w:rsidP="00655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A6" w:rsidRPr="00655D44" w:rsidRDefault="00655D44">
    <w:pPr>
      <w:pStyle w:val="Footer"/>
      <w:rPr>
        <w:rFonts w:ascii="Times New Roman Bold" w:hAnsi="Times New Roman Bold"/>
        <w:b/>
        <w:i/>
        <w:sz w:val="26"/>
      </w:rPr>
    </w:pPr>
    <w:r w:rsidRPr="00655D44">
      <w:rPr>
        <w:rFonts w:ascii="Times New Roman Bold" w:hAnsi="Times New Roman Bold"/>
        <w:b/>
        <w:i/>
        <w:sz w:val="26"/>
      </w:rPr>
      <w:t>Massachusetts Association of School 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2BC" w:rsidRDefault="000552BC" w:rsidP="00655D44">
      <w:pPr>
        <w:spacing w:line="240" w:lineRule="auto"/>
      </w:pPr>
      <w:r>
        <w:separator/>
      </w:r>
    </w:p>
  </w:footnote>
  <w:footnote w:type="continuationSeparator" w:id="0">
    <w:p w:rsidR="000552BC" w:rsidRDefault="000552BC" w:rsidP="00655D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406AF"/>
    <w:multiLevelType w:val="hybridMultilevel"/>
    <w:tmpl w:val="16B8E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44"/>
    <w:rsid w:val="00006A36"/>
    <w:rsid w:val="00010581"/>
    <w:rsid w:val="00012B50"/>
    <w:rsid w:val="00030896"/>
    <w:rsid w:val="000355D5"/>
    <w:rsid w:val="00041067"/>
    <w:rsid w:val="00041FC8"/>
    <w:rsid w:val="00046018"/>
    <w:rsid w:val="000479F5"/>
    <w:rsid w:val="000504A2"/>
    <w:rsid w:val="000552BC"/>
    <w:rsid w:val="00055C40"/>
    <w:rsid w:val="00093029"/>
    <w:rsid w:val="000E271F"/>
    <w:rsid w:val="000E564D"/>
    <w:rsid w:val="0010018B"/>
    <w:rsid w:val="00135CD8"/>
    <w:rsid w:val="001363D1"/>
    <w:rsid w:val="00174A59"/>
    <w:rsid w:val="00184FD5"/>
    <w:rsid w:val="0019308D"/>
    <w:rsid w:val="001931B4"/>
    <w:rsid w:val="001A0B27"/>
    <w:rsid w:val="001B26EB"/>
    <w:rsid w:val="001D6A35"/>
    <w:rsid w:val="001E0CBE"/>
    <w:rsid w:val="001F07F2"/>
    <w:rsid w:val="00215FC3"/>
    <w:rsid w:val="00217C88"/>
    <w:rsid w:val="00224480"/>
    <w:rsid w:val="0022736E"/>
    <w:rsid w:val="002342A2"/>
    <w:rsid w:val="00265E08"/>
    <w:rsid w:val="002749C9"/>
    <w:rsid w:val="002915F2"/>
    <w:rsid w:val="00293E5D"/>
    <w:rsid w:val="002A2287"/>
    <w:rsid w:val="002C3A4A"/>
    <w:rsid w:val="002D3DDB"/>
    <w:rsid w:val="002E4CC1"/>
    <w:rsid w:val="002F2E76"/>
    <w:rsid w:val="002F4150"/>
    <w:rsid w:val="00301858"/>
    <w:rsid w:val="003223FC"/>
    <w:rsid w:val="003246D0"/>
    <w:rsid w:val="00325508"/>
    <w:rsid w:val="003331A6"/>
    <w:rsid w:val="0037101A"/>
    <w:rsid w:val="003B27B4"/>
    <w:rsid w:val="003C2E3D"/>
    <w:rsid w:val="003E2019"/>
    <w:rsid w:val="00406F2E"/>
    <w:rsid w:val="00407FB1"/>
    <w:rsid w:val="0041558A"/>
    <w:rsid w:val="00420964"/>
    <w:rsid w:val="0043132A"/>
    <w:rsid w:val="00443A50"/>
    <w:rsid w:val="00461A4F"/>
    <w:rsid w:val="00487E1E"/>
    <w:rsid w:val="004952E9"/>
    <w:rsid w:val="004A54FF"/>
    <w:rsid w:val="004A6B36"/>
    <w:rsid w:val="004B32C6"/>
    <w:rsid w:val="004C0DEF"/>
    <w:rsid w:val="004C5033"/>
    <w:rsid w:val="004F3241"/>
    <w:rsid w:val="00532DC8"/>
    <w:rsid w:val="0054432A"/>
    <w:rsid w:val="00581DCD"/>
    <w:rsid w:val="00582A87"/>
    <w:rsid w:val="00592C7C"/>
    <w:rsid w:val="005C59CC"/>
    <w:rsid w:val="005D3D6B"/>
    <w:rsid w:val="005E5C45"/>
    <w:rsid w:val="005F6074"/>
    <w:rsid w:val="00601F69"/>
    <w:rsid w:val="00604EEB"/>
    <w:rsid w:val="00614C28"/>
    <w:rsid w:val="0062495D"/>
    <w:rsid w:val="0063333F"/>
    <w:rsid w:val="00642653"/>
    <w:rsid w:val="00647C15"/>
    <w:rsid w:val="0065252D"/>
    <w:rsid w:val="00655D44"/>
    <w:rsid w:val="006618A9"/>
    <w:rsid w:val="006645C7"/>
    <w:rsid w:val="00673E4B"/>
    <w:rsid w:val="0069527B"/>
    <w:rsid w:val="006A45BA"/>
    <w:rsid w:val="006B7BD8"/>
    <w:rsid w:val="006D51BB"/>
    <w:rsid w:val="006D75F7"/>
    <w:rsid w:val="006E12B8"/>
    <w:rsid w:val="006E4C2D"/>
    <w:rsid w:val="006F07FE"/>
    <w:rsid w:val="00712758"/>
    <w:rsid w:val="00713632"/>
    <w:rsid w:val="007224E1"/>
    <w:rsid w:val="007412A3"/>
    <w:rsid w:val="00750417"/>
    <w:rsid w:val="0075690A"/>
    <w:rsid w:val="007844DC"/>
    <w:rsid w:val="007850AD"/>
    <w:rsid w:val="007972C5"/>
    <w:rsid w:val="007974C2"/>
    <w:rsid w:val="007A46CE"/>
    <w:rsid w:val="007C631A"/>
    <w:rsid w:val="007F5A53"/>
    <w:rsid w:val="00804495"/>
    <w:rsid w:val="00823963"/>
    <w:rsid w:val="008307C9"/>
    <w:rsid w:val="00841667"/>
    <w:rsid w:val="00843C5F"/>
    <w:rsid w:val="008519DC"/>
    <w:rsid w:val="008632EF"/>
    <w:rsid w:val="008669CE"/>
    <w:rsid w:val="00871011"/>
    <w:rsid w:val="008738AF"/>
    <w:rsid w:val="008914C0"/>
    <w:rsid w:val="00894562"/>
    <w:rsid w:val="008A33D3"/>
    <w:rsid w:val="008A6B70"/>
    <w:rsid w:val="008C3D5C"/>
    <w:rsid w:val="008D2C5F"/>
    <w:rsid w:val="008E0445"/>
    <w:rsid w:val="008E486C"/>
    <w:rsid w:val="008F5146"/>
    <w:rsid w:val="008F5E63"/>
    <w:rsid w:val="00904341"/>
    <w:rsid w:val="00907334"/>
    <w:rsid w:val="00911C4D"/>
    <w:rsid w:val="00934F05"/>
    <w:rsid w:val="009436AC"/>
    <w:rsid w:val="0094735C"/>
    <w:rsid w:val="009479B6"/>
    <w:rsid w:val="009B407F"/>
    <w:rsid w:val="009B4ED4"/>
    <w:rsid w:val="009D070D"/>
    <w:rsid w:val="009E681A"/>
    <w:rsid w:val="009F7C1B"/>
    <w:rsid w:val="00A05A6E"/>
    <w:rsid w:val="00A10C84"/>
    <w:rsid w:val="00A12DFC"/>
    <w:rsid w:val="00A333EE"/>
    <w:rsid w:val="00A36400"/>
    <w:rsid w:val="00A63C60"/>
    <w:rsid w:val="00A6446D"/>
    <w:rsid w:val="00A6611F"/>
    <w:rsid w:val="00A777DA"/>
    <w:rsid w:val="00A81055"/>
    <w:rsid w:val="00AD246E"/>
    <w:rsid w:val="00AD5012"/>
    <w:rsid w:val="00AE007E"/>
    <w:rsid w:val="00AF171D"/>
    <w:rsid w:val="00AF7087"/>
    <w:rsid w:val="00B03340"/>
    <w:rsid w:val="00B209AF"/>
    <w:rsid w:val="00B26B2C"/>
    <w:rsid w:val="00B430C3"/>
    <w:rsid w:val="00B51668"/>
    <w:rsid w:val="00B84EE8"/>
    <w:rsid w:val="00BA75C8"/>
    <w:rsid w:val="00BA7873"/>
    <w:rsid w:val="00BB2ACB"/>
    <w:rsid w:val="00BB2F70"/>
    <w:rsid w:val="00BC3524"/>
    <w:rsid w:val="00BF5CD5"/>
    <w:rsid w:val="00BF795F"/>
    <w:rsid w:val="00C113B4"/>
    <w:rsid w:val="00C24123"/>
    <w:rsid w:val="00C34B4F"/>
    <w:rsid w:val="00C6180D"/>
    <w:rsid w:val="00C75736"/>
    <w:rsid w:val="00C7622C"/>
    <w:rsid w:val="00C80ACC"/>
    <w:rsid w:val="00C829F5"/>
    <w:rsid w:val="00C86218"/>
    <w:rsid w:val="00CA4F0F"/>
    <w:rsid w:val="00CB5F62"/>
    <w:rsid w:val="00D1091C"/>
    <w:rsid w:val="00D16F31"/>
    <w:rsid w:val="00D3074F"/>
    <w:rsid w:val="00D40AA4"/>
    <w:rsid w:val="00D44587"/>
    <w:rsid w:val="00D613FA"/>
    <w:rsid w:val="00DA709F"/>
    <w:rsid w:val="00DB6E90"/>
    <w:rsid w:val="00DC0098"/>
    <w:rsid w:val="00DD1987"/>
    <w:rsid w:val="00DD56D7"/>
    <w:rsid w:val="00DE1280"/>
    <w:rsid w:val="00DE6AED"/>
    <w:rsid w:val="00E13E48"/>
    <w:rsid w:val="00E204E2"/>
    <w:rsid w:val="00E319AB"/>
    <w:rsid w:val="00E3283D"/>
    <w:rsid w:val="00E403D7"/>
    <w:rsid w:val="00E53382"/>
    <w:rsid w:val="00EB610A"/>
    <w:rsid w:val="00EB68C7"/>
    <w:rsid w:val="00EB6986"/>
    <w:rsid w:val="00EC5D6A"/>
    <w:rsid w:val="00ED59FB"/>
    <w:rsid w:val="00EE7BC0"/>
    <w:rsid w:val="00F1086A"/>
    <w:rsid w:val="00F26DE7"/>
    <w:rsid w:val="00F34257"/>
    <w:rsid w:val="00F56850"/>
    <w:rsid w:val="00F62EB2"/>
    <w:rsid w:val="00F820D9"/>
    <w:rsid w:val="00F85F85"/>
    <w:rsid w:val="00F90986"/>
    <w:rsid w:val="00F91C64"/>
    <w:rsid w:val="00FC04FA"/>
    <w:rsid w:val="00FC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9E2F4-1191-45F9-B04F-614D93FB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5D44"/>
    <w:pPr>
      <w:tabs>
        <w:tab w:val="center" w:pos="4680"/>
        <w:tab w:val="right" w:pos="9360"/>
      </w:tabs>
      <w:spacing w:line="240" w:lineRule="auto"/>
    </w:pPr>
    <w:rPr>
      <w:rFonts w:ascii="Calibri" w:hAnsi="Calibri"/>
      <w:sz w:val="22"/>
    </w:rPr>
  </w:style>
  <w:style w:type="character" w:customStyle="1" w:styleId="FooterChar">
    <w:name w:val="Footer Char"/>
    <w:basedOn w:val="DefaultParagraphFont"/>
    <w:link w:val="Footer"/>
    <w:uiPriority w:val="99"/>
    <w:rsid w:val="00655D44"/>
    <w:rPr>
      <w:rFonts w:ascii="Calibri" w:hAnsi="Calibri"/>
      <w:sz w:val="22"/>
    </w:rPr>
  </w:style>
  <w:style w:type="paragraph" w:styleId="Header">
    <w:name w:val="header"/>
    <w:basedOn w:val="Normal"/>
    <w:link w:val="HeaderChar"/>
    <w:uiPriority w:val="99"/>
    <w:semiHidden/>
    <w:unhideWhenUsed/>
    <w:rsid w:val="00655D4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55D44"/>
  </w:style>
  <w:style w:type="paragraph" w:styleId="BalloonText">
    <w:name w:val="Balloon Text"/>
    <w:basedOn w:val="Normal"/>
    <w:link w:val="BalloonTextChar"/>
    <w:uiPriority w:val="99"/>
    <w:semiHidden/>
    <w:unhideWhenUsed/>
    <w:rsid w:val="00655D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nolsen</dc:creator>
  <cp:lastModifiedBy>Mike Gilbert</cp:lastModifiedBy>
  <cp:revision>2</cp:revision>
  <dcterms:created xsi:type="dcterms:W3CDTF">2016-04-04T18:48:00Z</dcterms:created>
  <dcterms:modified xsi:type="dcterms:W3CDTF">2016-04-04T18:48:00Z</dcterms:modified>
</cp:coreProperties>
</file>